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</w:tblGrid>
      <w:tr>
        <w:tc>
          <w:tcPr>
            <w:shd w:fill="0D2118" w:color="auto" w:val="clear"/>
            <w:tcMar>
              <w:top w:type="dxa" w:w="280"/>
              <w:left w:type="dxa" w:w="280"/>
              <w:bottom w:type="dxa" w:w="280"/>
              <w:right w:type="dxa" w:w="280"/>
            </w:tcMar>
          </w:tcPr>
          <w:p>
            <w:r>
              <w:rPr>
                <w:b/>
                <w:bCs/>
                <w:color w:val="D8AA49"/>
                <w:spacing w:val="48"/>
                <w:sz w:val="15"/>
                <w:szCs w:val="15"/>
              </w:rPr>
              <w:t xml:space="preserve">APPROVED DIRECTION / PHASE 1 BRIEFING</w:t>
            </w:r>
          </w:p>
          <w:p>
            <w:pPr>
              <w:spacing w:before="200"/>
            </w:pPr>
            <w:r>
              <w:rPr>
                <w:b/>
                <w:bCs/>
                <w:color w:val="F6F2E8"/>
                <w:spacing w:val="140"/>
                <w:sz w:val="108"/>
                <w:szCs w:val="108"/>
              </w:rPr>
              <w:t xml:space="preserve">UZIMA</w:t>
            </w:r>
          </w:p>
          <w:p>
            <w:pPr>
              <w:pBdr>
                <w:bottom w:val="single" w:color="D8AA49" w:sz="24" w:space="1"/>
              </w:pBdr>
              <w:spacing w:after="120" w:before="160"/>
            </w:pPr>
          </w:p>
          <w:p>
            <w:pPr>
              <w:spacing w:before="160"/>
            </w:pPr>
            <w:r>
              <w:rPr>
                <w:b/>
                <w:bCs/>
                <w:color w:val="F6F2E8"/>
                <w:sz w:val="56"/>
                <w:szCs w:val="56"/>
              </w:rPr>
              <w:t xml:space="preserve">A city built around human advancement.</w:t>
            </w:r>
          </w:p>
          <w:p>
            <w:pPr>
              <w:spacing w:before="200"/>
            </w:pPr>
            <w:r>
              <w:rPr>
                <w:color w:val="E5E8E3"/>
                <w:sz w:val="25"/>
                <w:szCs w:val="25"/>
              </w:rPr>
              <w:t xml:space="preserve">A roughly 4,800-acre model that connects health, learning, enterprise, ecology, and belonging — designed to prove that resident benefit and a working economy can reinforce each other.</w:t>
            </w:r>
          </w:p>
          <w:p>
            <w:pPr>
              <w:pBdr>
                <w:top w:val="single" w:color="385047" w:sz="4"/>
                <w:bottom w:val="single" w:color="385047" w:sz="4"/>
              </w:pBdr>
              <w:spacing w:before="280"/>
            </w:pPr>
            <w:r>
              <w:rPr>
                <w:b/>
                <w:bCs/>
                <w:color w:val="F6F2E8"/>
                <w:sz w:val="36"/>
                <w:szCs w:val="36"/>
              </w:rPr>
              <w:t xml:space="preserve">1  </w:t>
            </w:r>
            <w:r>
              <w:rPr>
                <w:color w:val="A6B3AB"/>
                <w:spacing w:val="24"/>
                <w:sz w:val="14"/>
                <w:szCs w:val="14"/>
              </w:rPr>
              <w:t xml:space="preserve">HEALTH ANCHOR      </w:t>
            </w:r>
            <w:r>
              <w:rPr>
                <w:b/>
                <w:bCs/>
                <w:color w:val="F6F2E8"/>
                <w:sz w:val="36"/>
                <w:szCs w:val="36"/>
              </w:rPr>
              <w:t xml:space="preserve">8  </w:t>
            </w:r>
            <w:r>
              <w:rPr>
                <w:color w:val="A6B3AB"/>
                <w:spacing w:val="24"/>
                <w:sz w:val="14"/>
                <w:szCs w:val="14"/>
              </w:rPr>
              <w:t xml:space="preserve">ADVANCEMENT PILLARS      </w:t>
            </w:r>
            <w:r>
              <w:rPr>
                <w:b/>
                <w:bCs/>
                <w:color w:val="F6F2E8"/>
                <w:sz w:val="36"/>
                <w:szCs w:val="36"/>
              </w:rPr>
              <w:t xml:space="preserve">1  </w:t>
            </w:r>
            <w:r>
              <w:rPr>
                <w:color w:val="A6B3AB"/>
                <w:spacing w:val="24"/>
                <w:sz w:val="14"/>
                <w:szCs w:val="14"/>
              </w:rPr>
              <w:t xml:space="preserve">CIVIC ZONES</w:t>
            </w:r>
          </w:p>
          <w:p>
            <w:pPr>
              <w:spacing w:before="280"/>
            </w:pPr>
            <w:r>
              <w:rPr>
                <w:color w:val="D5DDD7"/>
                <w:sz w:val="19"/>
                <w:szCs w:val="19"/>
              </w:rPr>
              <w:t xml:space="preserve">This is a working vision, not a surveyed site plan, feasibility study, capital offer, or final development program. Spatial diagrams are illustrative. Phase 1 converts approved direction into evidence and decisions.</w:t>
            </w:r>
          </w:p>
          <w:p>
            <w:pPr>
              <w:spacing w:before="320"/>
            </w:pPr>
            <w:r>
              <w:rPr>
                <w:b/>
                <w:bCs/>
                <w:color w:val="D8AA49"/>
                <w:spacing w:val="48"/>
                <w:sz w:val="15"/>
                <w:szCs w:val="15"/>
              </w:rPr>
              <w:t xml:space="preserve">LED BY THE INSTITUTE FOR HUMAN ADVANCEMENT</w:t>
            </w:r>
          </w:p>
          <w:p>
            <w:pPr>
              <w:spacing w:before="60"/>
            </w:pPr>
            <w:r>
              <w:rPr>
                <w:color w:val="D5DDD7"/>
                <w:sz w:val="19"/>
                <w:szCs w:val="19"/>
              </w:rPr>
              <w:t xml:space="preserve">Convened by Lorenzo Daughtry-Chambers / designed through Birchboro / supported in rollout by TPC Ministries</w:t>
            </w:r>
          </w:p>
        </w:tc>
      </w:tr>
    </w:tbl>
    <w:p>
      <w:r>
        <w:br w:type="page"/>
      </w:r>
    </w:p>
    <w:p>
      <w:pPr>
        <w:spacing w:after="80" w:before="240"/>
      </w:pPr>
      <w:r>
        <w:rPr>
          <w:b/>
          <w:bCs/>
          <w:color w:val="D8AA49"/>
          <w:spacing w:val="48"/>
          <w:sz w:val="15"/>
          <w:szCs w:val="15"/>
        </w:rPr>
        <w:t xml:space="preserve">DECISION FRAME</w:t>
      </w:r>
    </w:p>
    <w:p>
      <w:pPr>
        <w:pStyle w:val="Heading1"/>
        <w:spacing w:after="140"/>
      </w:pPr>
      <w:r>
        <w:rPr>
          <w:b/>
          <w:bCs/>
          <w:color w:val="16221C"/>
          <w:sz w:val="42"/>
          <w:szCs w:val="42"/>
        </w:rPr>
        <w:t xml:space="preserve">Separate the vision from the proof.</w:t>
      </w:r>
    </w:p>
    <w:p>
      <w:pPr>
        <w:spacing w:after="120"/>
      </w:pPr>
      <w:r>
        <w:rPr>
          <w:color w:val="35433B"/>
          <w:sz w:val="19"/>
          <w:szCs w:val="19"/>
        </w:rPr>
        <w:t xml:space="preserve">Partners should be able to see what has been decided, what remains provisional, and what the next phase must resolve before scale.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680"/>
        <w:gridCol w:w="4680"/>
      </w:tblGrid>
      <w:tr>
        <w:tc>
          <w:tcPr>
            <w:tcW w:type="pct" w:w="50%"/>
            <w:tcBorders>
              <w:top w:val="single" w:color="D8AA49" w:sz="18"/>
              <w:left w:val="none" w:color="auto" w:sz="0"/>
              <w:bottom w:val="none" w:color="auto" w:sz="0"/>
              <w:right w:val="none" w:color="auto" w:sz="0"/>
            </w:tcBorders>
            <w:shd w:fill="FFFFFF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140"/>
            </w:pPr>
            <w:r>
              <w:rPr>
                <w:b/>
                <w:bCs/>
                <w:color w:val="16221C"/>
                <w:sz w:val="21"/>
                <w:szCs w:val="21"/>
              </w:rPr>
              <w:t xml:space="preserve">What is already clear</w:t>
            </w:r>
          </w:p>
          <w:p>
            <w:pPr>
              <w:pBdr>
                <w:top w:val="single" w:color="D9D5CA" w:sz="4"/>
              </w:pBdr>
              <w:spacing w:after="100"/>
            </w:pPr>
            <w:r>
              <w:rPr>
                <w:b/>
                <w:bCs/>
                <w:color w:val="D8AA49"/>
                <w:sz w:val="15"/>
                <w:szCs w:val="15"/>
              </w:rPr>
              <w:t xml:space="preserve">01  </w:t>
            </w:r>
            <w:r>
              <w:rPr>
                <w:color w:val="16221C"/>
                <w:sz w:val="18"/>
                <w:szCs w:val="18"/>
              </w:rPr>
              <w:t xml:space="preserve">Health-first city direction and four-tier care model</w:t>
            </w:r>
          </w:p>
          <w:p>
            <w:pPr>
              <w:pBdr>
                <w:top w:val="single" w:color="D9D5CA" w:sz="4"/>
              </w:pBdr>
              <w:spacing w:after="100"/>
            </w:pPr>
            <w:r>
              <w:rPr>
                <w:b/>
                <w:bCs/>
                <w:color w:val="D8AA49"/>
                <w:sz w:val="15"/>
                <w:szCs w:val="15"/>
              </w:rPr>
              <w:t xml:space="preserve">02  </w:t>
            </w:r>
            <w:r>
              <w:rPr>
                <w:color w:val="16221C"/>
                <w:sz w:val="18"/>
                <w:szCs w:val="18"/>
              </w:rPr>
              <w:t xml:space="preserve">Connected districts for care, learning, work, capital, and community</w:t>
            </w:r>
          </w:p>
          <w:p>
            <w:pPr>
              <w:pBdr>
                <w:top w:val="single" w:color="D9D5CA" w:sz="4"/>
              </w:pBdr>
              <w:spacing w:after="100"/>
            </w:pPr>
            <w:r>
              <w:rPr>
                <w:b/>
                <w:bCs/>
                <w:color w:val="D8AA49"/>
                <w:sz w:val="15"/>
                <w:szCs w:val="15"/>
              </w:rPr>
              <w:t xml:space="preserve">03  </w:t>
            </w:r>
            <w:r>
              <w:rPr>
                <w:color w:val="16221C"/>
                <w:sz w:val="18"/>
                <w:szCs w:val="18"/>
              </w:rPr>
              <w:t xml:space="preserve">Cross-subsidy principle: high-value engines fund public access</w:t>
            </w:r>
          </w:p>
          <w:p>
            <w:pPr>
              <w:pBdr>
                <w:top w:val="single" w:color="D9D5CA" w:sz="4"/>
              </w:pBdr>
              <w:spacing w:after="100"/>
            </w:pPr>
            <w:r>
              <w:rPr>
                <w:b/>
                <w:bCs/>
                <w:color w:val="D8AA49"/>
                <w:sz w:val="15"/>
                <w:szCs w:val="15"/>
              </w:rPr>
              <w:t xml:space="preserve">04  </w:t>
            </w:r>
            <w:r>
              <w:rPr>
                <w:color w:val="16221C"/>
                <w:sz w:val="18"/>
                <w:szCs w:val="18"/>
              </w:rPr>
              <w:t xml:space="preserve">Illustrative spatial model for partner understanding</w:t>
            </w:r>
          </w:p>
        </w:tc>
        <w:tc>
          <w:tcPr>
            <w:tcW w:type="pct" w:w="50%"/>
            <w:tcBorders>
              <w:top w:val="single" w:color="829087" w:sz="18"/>
              <w:left w:val="none" w:color="auto" w:sz="0"/>
              <w:bottom w:val="none" w:color="auto" w:sz="0"/>
              <w:right w:val="none" w:color="auto" w:sz="0"/>
            </w:tcBorders>
            <w:shd w:fill="E9ECE7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140"/>
            </w:pPr>
            <w:r>
              <w:rPr>
                <w:b/>
                <w:bCs/>
                <w:color w:val="16221C"/>
                <w:sz w:val="21"/>
                <w:szCs w:val="21"/>
              </w:rPr>
              <w:t xml:space="preserve">What Phase 1 must prove</w:t>
            </w:r>
          </w:p>
          <w:p>
            <w:pPr>
              <w:pBdr>
                <w:top w:val="single" w:color="D9D5CA" w:sz="4"/>
              </w:pBdr>
              <w:spacing w:after="100"/>
            </w:pPr>
            <w:r>
              <w:rPr>
                <w:b/>
                <w:bCs/>
                <w:color w:val="637068"/>
                <w:sz w:val="15"/>
                <w:szCs w:val="15"/>
              </w:rPr>
              <w:t xml:space="preserve">01  </w:t>
            </w:r>
            <w:r>
              <w:rPr>
                <w:color w:val="16221C"/>
                <w:sz w:val="18"/>
                <w:szCs w:val="18"/>
              </w:rPr>
              <w:t xml:space="preserve">Site and environmental diligence package</w:t>
            </w:r>
          </w:p>
          <w:p>
            <w:pPr>
              <w:pBdr>
                <w:top w:val="single" w:color="D9D5CA" w:sz="4"/>
              </w:pBdr>
              <w:spacing w:after="100"/>
            </w:pPr>
            <w:r>
              <w:rPr>
                <w:b/>
                <w:bCs/>
                <w:color w:val="637068"/>
                <w:sz w:val="15"/>
                <w:szCs w:val="15"/>
              </w:rPr>
              <w:t xml:space="preserve">02  </w:t>
            </w:r>
            <w:r>
              <w:rPr>
                <w:color w:val="16221C"/>
                <w:sz w:val="18"/>
                <w:szCs w:val="18"/>
              </w:rPr>
              <w:t xml:space="preserve">Phase 1 financial model and capital stack</w:t>
            </w:r>
          </w:p>
          <w:p>
            <w:pPr>
              <w:pBdr>
                <w:top w:val="single" w:color="D9D5CA" w:sz="4"/>
              </w:pBdr>
              <w:spacing w:after="100"/>
            </w:pPr>
            <w:r>
              <w:rPr>
                <w:b/>
                <w:bCs/>
                <w:color w:val="637068"/>
                <w:sz w:val="15"/>
                <w:szCs w:val="15"/>
              </w:rPr>
              <w:t xml:space="preserve">03  </w:t>
            </w:r>
            <w:r>
              <w:rPr>
                <w:color w:val="16221C"/>
                <w:sz w:val="18"/>
                <w:szCs w:val="18"/>
              </w:rPr>
              <w:t xml:space="preserve">Market feasibility and anchor demand validation</w:t>
            </w:r>
          </w:p>
          <w:p>
            <w:pPr>
              <w:pBdr>
                <w:top w:val="single" w:color="D9D5CA" w:sz="4"/>
              </w:pBdr>
              <w:spacing w:after="100"/>
            </w:pPr>
            <w:r>
              <w:rPr>
                <w:b/>
                <w:bCs/>
                <w:color w:val="637068"/>
                <w:sz w:val="15"/>
                <w:szCs w:val="15"/>
              </w:rPr>
              <w:t xml:space="preserve">04  </w:t>
            </w:r>
            <w:r>
              <w:rPr>
                <w:color w:val="16221C"/>
                <w:sz w:val="18"/>
                <w:szCs w:val="18"/>
              </w:rPr>
              <w:t xml:space="preserve">Outcome baselines, reporting cadence, and independent verification plan</w:t>
            </w:r>
          </w:p>
        </w:tc>
      </w:tr>
    </w:tbl>
    <w:p>
      <w:pPr>
        <w:spacing w:before="240"/>
      </w:pP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</w:tblGrid>
      <w:tr>
        <w:tc>
          <w:tcPr>
            <w:shd w:fill="D8AA49" w:color="auto" w:val="clear"/>
            <w:tcMar>
              <w:top w:type="dxa" w:w="280"/>
              <w:left w:type="dxa" w:w="280"/>
              <w:bottom w:type="dxa" w:w="280"/>
              <w:right w:type="dxa" w:w="280"/>
            </w:tcMar>
          </w:tcPr>
          <w:p>
            <w:r>
              <w:rPr>
                <w:b/>
                <w:bCs/>
                <w:color w:val="0D2118"/>
                <w:sz w:val="26"/>
                <w:szCs w:val="26"/>
              </w:rPr>
              <w:t xml:space="preserve">The governing principle</w:t>
            </w:r>
          </w:p>
          <w:p>
            <w:pPr>
              <w:spacing w:before="100"/>
            </w:pPr>
            <w:r>
              <w:rPr>
                <w:color w:val="0D2118"/>
                <w:sz w:val="18"/>
                <w:szCs w:val="18"/>
              </w:rPr>
              <w:t xml:space="preserve">Scale follows proof. Each commitment should produce enough operating, financial, environmental, and public-benefit evidence to justify the next one.</w:t>
            </w:r>
          </w:p>
        </w:tc>
      </w:tr>
    </w:tbl>
    <w:p>
      <w:r>
        <w:br w:type="page"/>
      </w:r>
    </w:p>
    <w:p>
      <w:pPr>
        <w:spacing w:after="80" w:before="240"/>
      </w:pPr>
      <w:r>
        <w:rPr>
          <w:b/>
          <w:bCs/>
          <w:color w:val="D8AA49"/>
          <w:spacing w:val="48"/>
          <w:sz w:val="15"/>
          <w:szCs w:val="15"/>
        </w:rPr>
        <w:t xml:space="preserve">CITY ANATOMY</w:t>
      </w:r>
    </w:p>
    <w:p>
      <w:pPr>
        <w:pStyle w:val="Heading1"/>
        <w:spacing w:after="140"/>
      </w:pPr>
      <w:r>
        <w:rPr>
          <w:b/>
          <w:bCs/>
          <w:color w:val="16221C"/>
          <w:sz w:val="42"/>
          <w:szCs w:val="42"/>
        </w:rPr>
        <w:t xml:space="preserve">One anchor. Connected advancement systems.</w:t>
      </w:r>
    </w:p>
    <w:p>
      <w:pPr>
        <w:spacing w:after="120"/>
      </w:pPr>
      <w:r>
        <w:rPr>
          <w:color w:val="35433B"/>
          <w:sz w:val="19"/>
          <w:szCs w:val="19"/>
        </w:rPr>
        <w:t xml:space="preserve">The approved public content currently defines the following places. Their locations and physical form remain illustrative pending a site-specific master plan.</w:t>
      </w:r>
    </w:p>
    <w:tbl>
      <w:tblPr>
        <w:tblW w:type="pct" w:w="100%"/>
        <w:tblBorders>
          <w:top w:val="single" w:color="D9D5CA" w:sz="4"/>
          <w:left w:val="single" w:color="D9D5CA" w:sz="4"/>
          <w:bottom w:val="single" w:color="D9D5CA" w:sz="4"/>
          <w:right w:val="single" w:color="D9D5CA" w:sz="4"/>
          <w:insideH w:val="single" w:color="D9D5CA" w:sz="4"/>
          <w:insideV w:val="single" w:color="D9D5CA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2%"/>
            <w:shd w:fill="d9a441" w:color="auto" w:val="clear"/>
          </w:tcPr>
          <w:p/>
        </w:tc>
        <w:tc>
          <w:tcPr>
            <w:tcW w:type="pct" w:w="98%"/>
            <w:shd w:fill="FFFFFF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16221C"/>
                <w:sz w:val="21"/>
                <w:szCs w:val="21"/>
              </w:rPr>
              <w:t xml:space="preserve">Health Advancement Institute</w:t>
            </w:r>
          </w:p>
          <w:p>
            <w:pPr>
              <w:spacing w:before="40"/>
            </w:pPr>
            <w:r>
              <w:rPr>
                <w:color w:val="637068"/>
                <w:spacing w:val="20"/>
                <w:sz w:val="13"/>
                <w:szCs w:val="13"/>
              </w:rPr>
              <w:t xml:space="preserve">HEALTH ANCHOR</w:t>
            </w:r>
          </w:p>
          <w:p>
            <w:pPr>
              <w:spacing w:before="120"/>
            </w:pPr>
            <w:r>
              <w:rPr>
                <w:color w:val="637068"/>
                <w:sz w:val="17"/>
                <w:szCs w:val="17"/>
              </w:rPr>
              <w:t xml:space="preserve">Health goes first — care as the city’s first anchor, not a later amenity.</w:t>
            </w:r>
          </w:p>
        </w:tc>
      </w:tr>
      <w:tr>
        <w:trPr>
          <w:cantSplit/>
        </w:trPr>
        <w:tc>
          <w:tcPr>
            <w:tcW w:type="pct" w:w="2%"/>
            <w:shd w:fill="e0559b" w:color="auto" w:val="clear"/>
          </w:tcPr>
          <w:p/>
        </w:tc>
        <w:tc>
          <w:tcPr>
            <w:tcW w:type="pct" w:w="98%"/>
            <w:shd w:fill="FFFFFF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16221C"/>
                <w:sz w:val="21"/>
                <w:szCs w:val="21"/>
              </w:rPr>
              <w:t xml:space="preserve">Arts, Sport &amp; Tourism District</w:t>
            </w:r>
          </w:p>
          <w:p>
            <w:pPr>
              <w:spacing w:before="40"/>
            </w:pPr>
            <w:r>
              <w:rPr>
                <w:color w:val="637068"/>
                <w:spacing w:val="20"/>
                <w:sz w:val="13"/>
                <w:szCs w:val="13"/>
              </w:rPr>
              <w:t xml:space="preserve">ADVANCEMENT PILLAR</w:t>
            </w:r>
          </w:p>
          <w:p>
            <w:pPr>
              <w:spacing w:before="120"/>
            </w:pPr>
            <w:r>
              <w:rPr>
                <w:color w:val="637068"/>
                <w:sz w:val="17"/>
                <w:szCs w:val="17"/>
              </w:rPr>
              <w:t xml:space="preserve">Culture, sport, and the visitor economy.</w:t>
            </w:r>
          </w:p>
        </w:tc>
      </w:tr>
      <w:tr>
        <w:trPr>
          <w:cantSplit/>
        </w:trPr>
        <w:tc>
          <w:tcPr>
            <w:tcW w:type="pct" w:w="2%"/>
            <w:shd w:fill="5f8d4e" w:color="auto" w:val="clear"/>
          </w:tcPr>
          <w:p/>
        </w:tc>
        <w:tc>
          <w:tcPr>
            <w:tcW w:type="pct" w:w="98%"/>
            <w:shd w:fill="FFFFFF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16221C"/>
                <w:sz w:val="21"/>
                <w:szCs w:val="21"/>
              </w:rPr>
              <w:t xml:space="preserve">Civic Green &amp; Agritech Spine</w:t>
            </w:r>
          </w:p>
          <w:p>
            <w:pPr>
              <w:spacing w:before="40"/>
            </w:pPr>
            <w:r>
              <w:rPr>
                <w:color w:val="637068"/>
                <w:spacing w:val="20"/>
                <w:sz w:val="13"/>
                <w:szCs w:val="13"/>
              </w:rPr>
              <w:t xml:space="preserve">ADVANCEMENT PILLAR</w:t>
            </w:r>
          </w:p>
          <w:p>
            <w:pPr>
              <w:spacing w:before="120"/>
            </w:pPr>
            <w:r>
              <w:rPr>
                <w:color w:val="637068"/>
                <w:sz w:val="17"/>
                <w:szCs w:val="17"/>
              </w:rPr>
              <w:t xml:space="preserve">The living laboratory.</w:t>
            </w:r>
          </w:p>
        </w:tc>
      </w:tr>
      <w:tr>
        <w:trPr>
          <w:cantSplit/>
        </w:trPr>
        <w:tc>
          <w:tcPr>
            <w:tcW w:type="pct" w:w="2%"/>
            <w:shd w:fill="8aa37b" w:color="auto" w:val="clear"/>
          </w:tcPr>
          <w:p/>
        </w:tc>
        <w:tc>
          <w:tcPr>
            <w:tcW w:type="pct" w:w="98%"/>
            <w:shd w:fill="FFFFFF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16221C"/>
                <w:sz w:val="21"/>
                <w:szCs w:val="21"/>
              </w:rPr>
              <w:t xml:space="preserve">Community District</w:t>
            </w:r>
          </w:p>
          <w:p>
            <w:pPr>
              <w:spacing w:before="40"/>
            </w:pPr>
            <w:r>
              <w:rPr>
                <w:color w:val="637068"/>
                <w:spacing w:val="20"/>
                <w:sz w:val="13"/>
                <w:szCs w:val="13"/>
              </w:rPr>
              <w:t xml:space="preserve">ADVANCEMENT PILLAR</w:t>
            </w:r>
          </w:p>
          <w:p>
            <w:pPr>
              <w:spacing w:before="120"/>
            </w:pPr>
            <w:r>
              <w:rPr>
                <w:color w:val="637068"/>
                <w:sz w:val="17"/>
                <w:szCs w:val="17"/>
              </w:rPr>
              <w:t xml:space="preserve">Housing, public space, soul.</w:t>
            </w:r>
          </w:p>
        </w:tc>
      </w:tr>
      <w:tr>
        <w:trPr>
          <w:cantSplit/>
        </w:trPr>
        <w:tc>
          <w:tcPr>
            <w:tcW w:type="pct" w:w="2%"/>
            <w:shd w:fill="c9a227" w:color="auto" w:val="clear"/>
          </w:tcPr>
          <w:p/>
        </w:tc>
        <w:tc>
          <w:tcPr>
            <w:tcW w:type="pct" w:w="98%"/>
            <w:shd w:fill="FFFFFF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16221C"/>
                <w:sz w:val="21"/>
                <w:szCs w:val="21"/>
              </w:rPr>
              <w:t xml:space="preserve">Economic &amp; Capital District</w:t>
            </w:r>
          </w:p>
          <w:p>
            <w:pPr>
              <w:spacing w:before="40"/>
            </w:pPr>
            <w:r>
              <w:rPr>
                <w:color w:val="637068"/>
                <w:spacing w:val="20"/>
                <w:sz w:val="13"/>
                <w:szCs w:val="13"/>
              </w:rPr>
              <w:t xml:space="preserve">ADVANCEMENT PILLAR</w:t>
            </w:r>
          </w:p>
          <w:p>
            <w:pPr>
              <w:spacing w:before="120"/>
            </w:pPr>
            <w:r>
              <w:rPr>
                <w:color w:val="637068"/>
                <w:sz w:val="17"/>
                <w:szCs w:val="17"/>
              </w:rPr>
              <w:t xml:space="preserve">Built to make money — and to include.</w:t>
            </w:r>
          </w:p>
        </w:tc>
      </w:tr>
      <w:tr>
        <w:trPr>
          <w:cantSplit/>
        </w:trPr>
        <w:tc>
          <w:tcPr>
            <w:tcW w:type="pct" w:w="2%"/>
            <w:shd w:fill="4ea3d6" w:color="auto" w:val="clear"/>
          </w:tcPr>
          <w:p/>
        </w:tc>
        <w:tc>
          <w:tcPr>
            <w:tcW w:type="pct" w:w="98%"/>
            <w:shd w:fill="FFFFFF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16221C"/>
                <w:sz w:val="21"/>
                <w:szCs w:val="21"/>
              </w:rPr>
              <w:t xml:space="preserve">Education District</w:t>
            </w:r>
          </w:p>
          <w:p>
            <w:pPr>
              <w:spacing w:before="40"/>
            </w:pPr>
            <w:r>
              <w:rPr>
                <w:color w:val="637068"/>
                <w:spacing w:val="20"/>
                <w:sz w:val="13"/>
                <w:szCs w:val="13"/>
              </w:rPr>
              <w:t xml:space="preserve">ADVANCEMENT PILLAR</w:t>
            </w:r>
          </w:p>
          <w:p>
            <w:pPr>
              <w:spacing w:before="120"/>
            </w:pPr>
            <w:r>
              <w:rPr>
                <w:color w:val="637068"/>
                <w:sz w:val="17"/>
                <w:szCs w:val="17"/>
              </w:rPr>
              <w:t xml:space="preserve">Strong enough to export.</w:t>
            </w:r>
          </w:p>
        </w:tc>
      </w:tr>
      <w:tr>
        <w:trPr>
          <w:cantSplit/>
        </w:trPr>
        <w:tc>
          <w:tcPr>
            <w:tcW w:type="pct" w:w="2%"/>
            <w:shd w:fill="3fb6a8" w:color="auto" w:val="clear"/>
          </w:tcPr>
          <w:p/>
        </w:tc>
        <w:tc>
          <w:tcPr>
            <w:tcW w:type="pct" w:w="98%"/>
            <w:shd w:fill="FFFFFF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16221C"/>
                <w:sz w:val="21"/>
                <w:szCs w:val="21"/>
              </w:rPr>
              <w:t xml:space="preserve">Global Gateway</w:t>
            </w:r>
          </w:p>
          <w:p>
            <w:pPr>
              <w:spacing w:before="40"/>
            </w:pPr>
            <w:r>
              <w:rPr>
                <w:color w:val="637068"/>
                <w:spacing w:val="20"/>
                <w:sz w:val="13"/>
                <w:szCs w:val="13"/>
              </w:rPr>
              <w:t xml:space="preserve">ADVANCEMENT PILLAR</w:t>
            </w:r>
          </w:p>
          <w:p>
            <w:pPr>
              <w:spacing w:before="120"/>
            </w:pPr>
            <w:r>
              <w:rPr>
                <w:color w:val="637068"/>
                <w:sz w:val="17"/>
                <w:szCs w:val="17"/>
              </w:rPr>
              <w:t xml:space="preserve">The export point for everything proven here.</w:t>
            </w:r>
          </w:p>
        </w:tc>
      </w:tr>
      <w:tr>
        <w:trPr>
          <w:cantSplit/>
        </w:trPr>
        <w:tc>
          <w:tcPr>
            <w:tcW w:type="pct" w:w="2%"/>
            <w:shd w:fill="7c6cf0" w:color="auto" w:val="clear"/>
          </w:tcPr>
          <w:p/>
        </w:tc>
        <w:tc>
          <w:tcPr>
            <w:tcW w:type="pct" w:w="98%"/>
            <w:shd w:fill="FFFFFF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16221C"/>
                <w:sz w:val="21"/>
                <w:szCs w:val="21"/>
              </w:rPr>
              <w:t xml:space="preserve">Technology &amp; AI District</w:t>
            </w:r>
          </w:p>
          <w:p>
            <w:pPr>
              <w:spacing w:before="40"/>
            </w:pPr>
            <w:r>
              <w:rPr>
                <w:color w:val="637068"/>
                <w:spacing w:val="20"/>
                <w:sz w:val="13"/>
                <w:szCs w:val="13"/>
              </w:rPr>
              <w:t xml:space="preserve">ADVANCEMENT PILLAR</w:t>
            </w:r>
          </w:p>
          <w:p>
            <w:pPr>
              <w:spacing w:before="120"/>
            </w:pPr>
            <w:r>
              <w:rPr>
                <w:color w:val="637068"/>
                <w:sz w:val="17"/>
                <w:szCs w:val="17"/>
              </w:rPr>
              <w:t xml:space="preserve">AI-native by default.</w:t>
            </w:r>
          </w:p>
        </w:tc>
      </w:tr>
      <w:tr>
        <w:trPr>
          <w:cantSplit/>
        </w:trPr>
        <w:tc>
          <w:tcPr>
            <w:tcW w:type="pct" w:w="2%"/>
            <w:shd w:fill="e07a5f" w:color="auto" w:val="clear"/>
          </w:tcPr>
          <w:p/>
        </w:tc>
        <w:tc>
          <w:tcPr>
            <w:tcW w:type="pct" w:w="98%"/>
            <w:shd w:fill="FFFFFF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16221C"/>
                <w:sz w:val="21"/>
                <w:szCs w:val="21"/>
              </w:rPr>
              <w:t xml:space="preserve">Workforce District</w:t>
            </w:r>
          </w:p>
          <w:p>
            <w:pPr>
              <w:spacing w:before="40"/>
            </w:pPr>
            <w:r>
              <w:rPr>
                <w:color w:val="637068"/>
                <w:spacing w:val="20"/>
                <w:sz w:val="13"/>
                <w:szCs w:val="13"/>
              </w:rPr>
              <w:t xml:space="preserve">ADVANCEMENT PILLAR</w:t>
            </w:r>
          </w:p>
          <w:p>
            <w:pPr>
              <w:spacing w:before="120"/>
            </w:pPr>
            <w:r>
              <w:rPr>
                <w:color w:val="637068"/>
                <w:sz w:val="17"/>
                <w:szCs w:val="17"/>
              </w:rPr>
              <w:t xml:space="preserve">Pathways to dignified work.</w:t>
            </w:r>
          </w:p>
        </w:tc>
      </w:tr>
      <w:tr>
        <w:trPr>
          <w:cantSplit/>
        </w:trPr>
        <w:tc>
          <w:tcPr>
            <w:tcW w:type="pct" w:w="2%"/>
            <w:shd w:fill="6b7280" w:color="auto" w:val="clear"/>
          </w:tcPr>
          <w:p/>
        </w:tc>
        <w:tc>
          <w:tcPr>
            <w:tcW w:type="pct" w:w="98%"/>
            <w:shd w:fill="FFFFFF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bCs/>
                <w:color w:val="16221C"/>
                <w:sz w:val="21"/>
                <w:szCs w:val="21"/>
              </w:rPr>
              <w:t xml:space="preserve">Arrival &amp; Logistics Gateway</w:t>
            </w:r>
          </w:p>
          <w:p>
            <w:pPr>
              <w:spacing w:before="40"/>
            </w:pPr>
            <w:r>
              <w:rPr>
                <w:color w:val="637068"/>
                <w:spacing w:val="20"/>
                <w:sz w:val="13"/>
                <w:szCs w:val="13"/>
              </w:rPr>
              <w:t xml:space="preserve">CIVIC ZONE</w:t>
            </w:r>
          </w:p>
          <w:p>
            <w:pPr>
              <w:spacing w:before="120"/>
            </w:pPr>
            <w:r>
              <w:rPr>
                <w:color w:val="637068"/>
                <w:sz w:val="17"/>
                <w:szCs w:val="17"/>
              </w:rPr>
              <w:t xml:space="preserve">Where the city meets the world.</w:t>
            </w:r>
          </w:p>
        </w:tc>
      </w:tr>
    </w:tbl>
    <w:p>
      <w:r>
        <w:br w:type="pag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</w:tblGrid>
      <w:tr>
        <w:tc>
          <w:tcPr>
            <w:shd w:fill="0D2118" w:color="auto" w:val="clear"/>
            <w:tcMar>
              <w:top w:type="dxa" w:w="280"/>
              <w:left w:type="dxa" w:w="280"/>
              <w:bottom w:type="dxa" w:w="280"/>
              <w:right w:type="dxa" w:w="280"/>
            </w:tcMar>
          </w:tcPr>
          <w:p>
            <w:r>
              <w:rPr>
                <w:b/>
                <w:bCs/>
                <w:color w:val="D8AA49"/>
                <w:spacing w:val="48"/>
                <w:sz w:val="15"/>
                <w:szCs w:val="15"/>
              </w:rPr>
              <w:t xml:space="preserve">EVIDENCE-GATED DELIVERY</w:t>
            </w:r>
          </w:p>
          <w:p>
            <w:pPr>
              <w:spacing w:after="140" w:before="140"/>
            </w:pPr>
            <w:r>
              <w:rPr>
                <w:b/>
                <w:bCs/>
                <w:color w:val="F6F2E8"/>
                <w:sz w:val="42"/>
                <w:szCs w:val="42"/>
              </w:rPr>
              <w:t xml:space="preserve">Build proof before scale.</w:t>
            </w:r>
          </w:p>
          <w:p>
            <w:pPr>
              <w:spacing w:after="240"/>
            </w:pPr>
            <w:r>
              <w:rPr>
                <w:color w:val="D5DDD7"/>
                <w:sz w:val="19"/>
                <w:szCs w:val="19"/>
              </w:rPr>
              <w:t xml:space="preserve">The roadmap moves from principal alignment to a validated site, financial model, operating anchors, measurable outcomes, and finally a repeatable city system.</w:t>
            </w:r>
          </w:p>
          <w:p>
            <w:pPr>
              <w:pBdr>
                <w:top w:val="single" w:color="385047" w:sz="4"/>
              </w:pBdr>
              <w:spacing w:after="120" w:before="120"/>
            </w:pPr>
            <w:r>
              <w:rPr>
                <w:b/>
                <w:bCs/>
                <w:color w:val="D8AA49"/>
                <w:spacing w:val="20"/>
                <w:sz w:val="15"/>
                <w:szCs w:val="15"/>
              </w:rPr>
              <w:t xml:space="preserve">PHASE 0   </w:t>
            </w:r>
            <w:r>
              <w:rPr>
                <w:b/>
                <w:bCs/>
                <w:color w:val="F6F2E8"/>
                <w:sz w:val="21"/>
                <w:szCs w:val="21"/>
              </w:rPr>
              <w:t xml:space="preserve">Align  </w:t>
            </w:r>
            <w:r>
              <w:rPr>
                <w:color w:val="BBC7BF"/>
                <w:sz w:val="17"/>
                <w:szCs w:val="17"/>
              </w:rPr>
              <w:t xml:space="preserve">Lock the vision with the principals — landowners, the Sheikh, IHA leadership. Confirm Dr. Griffith's clinical leadership.</w:t>
            </w:r>
          </w:p>
          <w:p>
            <w:pPr>
              <w:pBdr>
                <w:top w:val="single" w:color="385047" w:sz="4"/>
              </w:pBdr>
              <w:spacing w:after="120" w:before="120"/>
            </w:pPr>
            <w:r>
              <w:rPr>
                <w:b/>
                <w:bCs/>
                <w:color w:val="D8AA49"/>
                <w:spacing w:val="20"/>
                <w:sz w:val="15"/>
                <w:szCs w:val="15"/>
              </w:rPr>
              <w:t xml:space="preserve">PHASE 1   </w:t>
            </w:r>
            <w:r>
              <w:rPr>
                <w:b/>
                <w:bCs/>
                <w:color w:val="F6F2E8"/>
                <w:sz w:val="21"/>
                <w:szCs w:val="21"/>
              </w:rPr>
              <w:t xml:space="preserve">Master plan &amp; anchor  </w:t>
            </w:r>
            <w:r>
              <w:rPr>
                <w:color w:val="BBC7BF"/>
                <w:sz w:val="17"/>
                <w:szCs w:val="17"/>
              </w:rPr>
              <w:t xml:space="preserve">Master plan, financial model, PPP framework. Design the Health Advancement Institute. Stand up the platform.</w:t>
            </w:r>
          </w:p>
          <w:p>
            <w:pPr>
              <w:pBdr>
                <w:top w:val="single" w:color="385047" w:sz="4"/>
              </w:pBdr>
              <w:spacing w:after="120" w:before="120"/>
            </w:pPr>
            <w:r>
              <w:rPr>
                <w:b/>
                <w:bCs/>
                <w:color w:val="D8AA49"/>
                <w:spacing w:val="20"/>
                <w:sz w:val="15"/>
                <w:szCs w:val="15"/>
              </w:rPr>
              <w:t xml:space="preserve">PHASE 2   </w:t>
            </w:r>
            <w:r>
              <w:rPr>
                <w:b/>
                <w:bCs/>
                <w:color w:val="F6F2E8"/>
                <w:sz w:val="21"/>
                <w:szCs w:val="21"/>
              </w:rPr>
              <w:t xml:space="preserve">Build the core  </w:t>
            </w:r>
            <w:r>
              <w:rPr>
                <w:color w:val="BBC7BF"/>
                <w:sz w:val="17"/>
                <w:szCs w:val="17"/>
              </w:rPr>
              <w:t xml:space="preserve">Wellness anchor, first housing &amp; hospitality, energy, first schools, free zone. Launch the currency pilot and venture studio.</w:t>
            </w:r>
          </w:p>
          <w:p>
            <w:pPr>
              <w:pBdr>
                <w:top w:val="single" w:color="385047" w:sz="4"/>
              </w:pBdr>
              <w:spacing w:after="120" w:before="120"/>
            </w:pPr>
            <w:r>
              <w:rPr>
                <w:b/>
                <w:bCs/>
                <w:color w:val="D8AA49"/>
                <w:spacing w:val="20"/>
                <w:sz w:val="15"/>
                <w:szCs w:val="15"/>
              </w:rPr>
              <w:t xml:space="preserve">PHASE 3   </w:t>
            </w:r>
            <w:r>
              <w:rPr>
                <w:b/>
                <w:bCs/>
                <w:color w:val="F6F2E8"/>
                <w:sz w:val="21"/>
                <w:szCs w:val="21"/>
              </w:rPr>
              <w:t xml:space="preserve">Scale  </w:t>
            </w:r>
            <w:r>
              <w:rPr>
                <w:color w:val="BBC7BF"/>
                <w:sz w:val="17"/>
                <w:szCs w:val="17"/>
              </w:rPr>
              <w:t xml:space="preserve">Research &amp; trials hub, full education pipeline, arts &amp; sports tourism, agritech/biotech. Diaspora capital at scale.</w:t>
            </w:r>
          </w:p>
          <w:p>
            <w:pPr>
              <w:pBdr>
                <w:top w:val="single" w:color="385047" w:sz="4"/>
              </w:pBdr>
              <w:spacing w:after="120" w:before="120"/>
            </w:pPr>
            <w:r>
              <w:rPr>
                <w:b/>
                <w:bCs/>
                <w:color w:val="D8AA49"/>
                <w:spacing w:val="20"/>
                <w:sz w:val="15"/>
                <w:szCs w:val="15"/>
              </w:rPr>
              <w:t xml:space="preserve">PHASE 4   </w:t>
            </w:r>
            <w:r>
              <w:rPr>
                <w:b/>
                <w:bCs/>
                <w:color w:val="F6F2E8"/>
                <w:sz w:val="21"/>
                <w:szCs w:val="21"/>
              </w:rPr>
              <w:t xml:space="preserve">Replicate  </w:t>
            </w:r>
            <w:r>
              <w:rPr>
                <w:color w:val="BBC7BF"/>
                <w:sz w:val="17"/>
                <w:szCs w:val="17"/>
              </w:rPr>
              <w:t xml:space="preserve">Codify the playbook and City OS. Begin the next city on the same IHA infrastructure — Birchboro's purpose.</w:t>
            </w:r>
          </w:p>
          <w:p>
            <w:pPr>
              <w:spacing w:before="320"/>
            </w:pPr>
            <w:r>
              <w:rPr>
                <w:b/>
                <w:bCs/>
                <w:color w:val="D8AA49"/>
                <w:spacing w:val="48"/>
                <w:sz w:val="15"/>
                <w:szCs w:val="15"/>
              </w:rPr>
              <w:t xml:space="preserve">PARTNERSHIP PATHWAYS</w:t>
            </w:r>
          </w:p>
          <w:p>
            <w:pPr>
              <w:spacing w:before="160"/>
            </w:pPr>
            <w:r>
              <w:rPr>
                <w:b/>
                <w:bCs/>
                <w:color w:val="F6F2E8"/>
                <w:sz w:val="19"/>
                <w:szCs w:val="19"/>
              </w:rPr>
              <w:t xml:space="preserve">Land and public partners  </w:t>
            </w:r>
            <w:r>
              <w:rPr>
                <w:color w:val="B9C6BE"/>
                <w:sz w:val="17"/>
                <w:szCs w:val="17"/>
              </w:rPr>
              <w:t xml:space="preserve">A suitable site, aligned authority, and a mandate large enough to integrate health, housing, enterprise, and infrastructure.</w:t>
            </w:r>
          </w:p>
          <w:p>
            <w:pPr>
              <w:spacing w:before="160"/>
            </w:pPr>
            <w:r>
              <w:rPr>
                <w:b/>
                <w:bCs/>
                <w:color w:val="F6F2E8"/>
                <w:sz w:val="19"/>
                <w:szCs w:val="19"/>
              </w:rPr>
              <w:t xml:space="preserve">Anchor institutions  </w:t>
            </w:r>
            <w:r>
              <w:rPr>
                <w:color w:val="B9C6BE"/>
                <w:sz w:val="17"/>
                <w:szCs w:val="17"/>
              </w:rPr>
              <w:t xml:space="preserve">Clinical, education, research, and civic institutions prepared to design an operating model, not simply occupy a building.</w:t>
            </w:r>
          </w:p>
          <w:p>
            <w:pPr>
              <w:spacing w:before="160"/>
            </w:pPr>
            <w:r>
              <w:rPr>
                <w:b/>
                <w:bCs/>
                <w:color w:val="F6F2E8"/>
                <w:sz w:val="19"/>
                <w:szCs w:val="19"/>
              </w:rPr>
              <w:t xml:space="preserve">Capital partners  </w:t>
            </w:r>
            <w:r>
              <w:rPr>
                <w:color w:val="B9C6BE"/>
                <w:sz w:val="17"/>
                <w:szCs w:val="17"/>
              </w:rPr>
              <w:t xml:space="preserve">Patient partners willing to shape the Phase 1 financial model around durable returns and measurable resident benefit.</w:t>
            </w:r>
          </w:p>
          <w:p>
            <w:pPr>
              <w:spacing w:before="160"/>
            </w:pPr>
            <w:r>
              <w:rPr>
                <w:b/>
                <w:bCs/>
                <w:color w:val="F6F2E8"/>
                <w:sz w:val="19"/>
                <w:szCs w:val="19"/>
              </w:rPr>
              <w:t xml:space="preserve">Delivery and technology  </w:t>
            </w:r>
            <w:r>
              <w:rPr>
                <w:color w:val="B9C6BE"/>
                <w:sz w:val="17"/>
                <w:szCs w:val="17"/>
              </w:rPr>
              <w:t xml:space="preserve">Master planning, infrastructure, operating, and technology partners able to build a repeatable city system.</w:t>
            </w:r>
          </w:p>
        </w:tc>
      </w:tr>
    </w:tbl>
    <w:p>
      <w:pPr>
        <w:spacing w:before="240"/>
      </w:pP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</w:tblGrid>
      <w:tr>
        <w:tc>
          <w:tcPr>
            <w:shd w:fill="D8AA49" w:color="auto" w:val="clear"/>
            <w:tcMar>
              <w:top w:type="dxa" w:w="280"/>
              <w:left w:type="dxa" w:w="280"/>
              <w:bottom w:type="dxa" w:w="280"/>
              <w:right w:type="dxa" w:w="280"/>
            </w:tcMar>
          </w:tcPr>
          <w:p>
            <w:r>
              <w:rPr>
                <w:b/>
                <w:bCs/>
                <w:color w:val="0D2118"/>
                <w:sz w:val="26"/>
                <w:szCs w:val="26"/>
              </w:rPr>
              <w:t xml:space="preserve">The next useful conversation is specific.</w:t>
            </w:r>
          </w:p>
          <w:p>
            <w:pPr>
              <w:spacing w:before="100"/>
            </w:pPr>
            <w:r>
              <w:rPr>
                <w:color w:val="0D2118"/>
                <w:sz w:val="18"/>
                <w:szCs w:val="18"/>
              </w:rPr>
              <w:t xml:space="preserve">A serious partner arrives with a defined contribution, decision authority, constraints, and the evidence they need to proceed. Begin at uzima.theiha.org.</w:t>
            </w:r>
          </w:p>
        </w:tc>
      </w:tr>
    </w:tbl>
    <w:sectPr>
      <w:footerReference w:type="default" r:id="rId7"/>
      <w:pgSz w:w="11906" w:h="16838" w:orient="portrait"/>
      <w:pgMar w:top="960" w:right="960" w:bottom="72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37068"/>
        <w:sz w:val="14"/>
        <w:szCs w:val="14"/>
      </w:rPr>
      <w:t xml:space="preserve">UZIMA — WORKING CITY VISION        </w:t>
    </w:r>
    <w:r>
      <w:rPr>
        <w:color w:val="637068"/>
        <w:sz w:val="14"/>
        <w:szCs w:val="14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16221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Uzima — Working City Vision</dc:title>
  <dc:creator>Institute for Human Advancement</dc:creator>
  <dc:description>Approved direction and Phase 1 briefing</dc:description>
  <cp:lastModifiedBy>Un-named</cp:lastModifiedBy>
  <cp:revision>1</cp:revision>
  <dcterms:created xsi:type="dcterms:W3CDTF">2026-10-23T11:25:13.050Z</dcterms:created>
  <dcterms:modified xsi:type="dcterms:W3CDTF">2026-10-23T11:25:13.050Z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